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575DB0">
      <w:pPr>
        <w:spacing w:line="263" w:lineRule="auto"/>
        <w:rPr>
          <w:rFonts w:ascii="Arial"/>
          <w:sz w:val="21"/>
        </w:rPr>
      </w:pPr>
    </w:p>
    <w:p w14:paraId="2CF44235">
      <w:pPr>
        <w:spacing w:line="264" w:lineRule="auto"/>
        <w:rPr>
          <w:rFonts w:ascii="Arial"/>
          <w:sz w:val="21"/>
        </w:rPr>
      </w:pPr>
    </w:p>
    <w:p w14:paraId="2BD4263F">
      <w:pPr>
        <w:spacing w:before="100" w:line="230" w:lineRule="auto"/>
        <w:ind w:left="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4"/>
          <w:sz w:val="31"/>
          <w:szCs w:val="31"/>
        </w:rPr>
        <w:t>附件</w:t>
      </w:r>
      <w:r>
        <w:rPr>
          <w:rFonts w:ascii="黑体" w:hAnsi="黑体" w:eastAsia="黑体" w:cs="黑体"/>
          <w:spacing w:val="-46"/>
          <w:sz w:val="31"/>
          <w:szCs w:val="31"/>
        </w:rPr>
        <w:t xml:space="preserve"> </w:t>
      </w:r>
    </w:p>
    <w:p w14:paraId="514F4784">
      <w:pPr>
        <w:spacing w:line="274" w:lineRule="auto"/>
        <w:rPr>
          <w:rFonts w:ascii="Arial"/>
          <w:sz w:val="21"/>
        </w:rPr>
      </w:pPr>
    </w:p>
    <w:p w14:paraId="276E5158">
      <w:pPr>
        <w:spacing w:line="275" w:lineRule="auto"/>
        <w:rPr>
          <w:rFonts w:ascii="Arial"/>
          <w:sz w:val="21"/>
        </w:rPr>
      </w:pPr>
    </w:p>
    <w:p w14:paraId="2F8AAE10">
      <w:pPr>
        <w:spacing w:before="160" w:line="654" w:lineRule="exact"/>
        <w:ind w:left="1846"/>
        <w:outlineLvl w:val="0"/>
        <w:rPr>
          <w:rFonts w:ascii="方正小标宋简体" w:hAnsi="方正小标宋简体" w:eastAsia="方正小标宋简体" w:cs="方正小标宋简体"/>
          <w:sz w:val="43"/>
          <w:szCs w:val="43"/>
        </w:rPr>
      </w:pPr>
      <w:bookmarkStart w:id="0" w:name="_GoBack"/>
      <w:r>
        <w:rPr>
          <w:rFonts w:ascii="方正小标宋简体" w:hAnsi="方正小标宋简体" w:eastAsia="方正小标宋简体" w:cs="方正小标宋简体"/>
          <w:spacing w:val="10"/>
          <w:position w:val="4"/>
          <w:sz w:val="43"/>
          <w:szCs w:val="43"/>
        </w:rPr>
        <w:t>河南省艰苦边远地区县名单</w:t>
      </w:r>
    </w:p>
    <w:bookmarkEnd w:id="0"/>
    <w:p w14:paraId="5A618BEF">
      <w:pPr>
        <w:spacing w:line="287" w:lineRule="auto"/>
        <w:rPr>
          <w:rFonts w:ascii="Arial"/>
          <w:sz w:val="21"/>
        </w:rPr>
      </w:pPr>
    </w:p>
    <w:p w14:paraId="39F3C887">
      <w:pPr>
        <w:spacing w:line="287" w:lineRule="auto"/>
        <w:rPr>
          <w:rFonts w:ascii="Arial"/>
          <w:sz w:val="21"/>
        </w:rPr>
      </w:pPr>
    </w:p>
    <w:p w14:paraId="0FC7C9A5">
      <w:pPr>
        <w:spacing w:before="101" w:line="226" w:lineRule="auto"/>
        <w:ind w:left="635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一、原国定扶贫开发工作重点县（38个）</w:t>
      </w:r>
    </w:p>
    <w:p w14:paraId="5D4C0239">
      <w:pPr>
        <w:spacing w:before="209" w:line="221" w:lineRule="auto"/>
        <w:ind w:left="65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1"/>
          <w:sz w:val="31"/>
          <w:szCs w:val="31"/>
        </w:rPr>
        <w:t>（一）原国家连片特困地区重点县（26个）。</w:t>
      </w:r>
    </w:p>
    <w:p w14:paraId="4EDA70C3">
      <w:pPr>
        <w:pStyle w:val="2"/>
        <w:spacing w:before="211" w:line="350" w:lineRule="auto"/>
        <w:ind w:firstLine="648"/>
      </w:pPr>
      <w:r>
        <w:rPr>
          <w:spacing w:val="3"/>
        </w:rPr>
        <w:t>兰考县、栾川县、嵩县、洛宁县、汝阳县、鲁山县、卢氏</w:t>
      </w:r>
      <w:r>
        <w:rPr>
          <w:spacing w:val="2"/>
        </w:rPr>
        <w:t>县、</w:t>
      </w:r>
      <w:r>
        <w:rPr>
          <w:spacing w:val="11"/>
        </w:rPr>
        <w:t>南召县、镇平县、内乡县、淅川县、民权县、宁陵县、柘城县、光山县、新县、商城县、固始县、淮滨县、潢川县、沈丘县、淮</w:t>
      </w:r>
      <w:r>
        <w:rPr>
          <w:spacing w:val="6"/>
        </w:rPr>
        <w:t>阳区、太康县、商水县、郸城县、新蔡县。</w:t>
      </w:r>
    </w:p>
    <w:p w14:paraId="76B0A79F">
      <w:pPr>
        <w:spacing w:before="2" w:line="221" w:lineRule="auto"/>
        <w:ind w:left="65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4"/>
          <w:sz w:val="31"/>
          <w:szCs w:val="31"/>
        </w:rPr>
        <w:t>（二）</w:t>
      </w:r>
      <w:r>
        <w:rPr>
          <w:rFonts w:ascii="楷体" w:hAnsi="楷体" w:eastAsia="楷体" w:cs="楷体"/>
          <w:spacing w:val="-66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-4"/>
          <w:sz w:val="31"/>
          <w:szCs w:val="31"/>
        </w:rPr>
        <w:t>原国家扶贫开发重点县（12个）。</w:t>
      </w:r>
    </w:p>
    <w:p w14:paraId="69DAD82C">
      <w:pPr>
        <w:pStyle w:val="2"/>
        <w:spacing w:before="214" w:line="348" w:lineRule="auto"/>
        <w:ind w:left="10" w:right="159" w:firstLine="638"/>
      </w:pPr>
      <w:r>
        <w:rPr>
          <w:spacing w:val="9"/>
        </w:rPr>
        <w:t>宜阳县、滑县、封丘县、范县、台前县、社旗县</w:t>
      </w:r>
      <w:r>
        <w:rPr>
          <w:spacing w:val="8"/>
        </w:rPr>
        <w:t>、桐柏县、</w:t>
      </w:r>
      <w:r>
        <w:t xml:space="preserve"> </w:t>
      </w:r>
      <w:r>
        <w:rPr>
          <w:spacing w:val="6"/>
        </w:rPr>
        <w:t>睢县、虞城县、上蔡县、确山县、平舆县。</w:t>
      </w:r>
    </w:p>
    <w:p w14:paraId="79C177F4">
      <w:pPr>
        <w:spacing w:before="4" w:line="226" w:lineRule="auto"/>
        <w:ind w:left="635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7"/>
          <w:sz w:val="31"/>
          <w:szCs w:val="31"/>
        </w:rPr>
        <w:t>二、原省定扶贫开发工作重点县（15个）</w:t>
      </w:r>
    </w:p>
    <w:p w14:paraId="20683167">
      <w:pPr>
        <w:pStyle w:val="2"/>
        <w:spacing w:before="210" w:line="350" w:lineRule="auto"/>
        <w:ind w:left="1" w:firstLine="630"/>
        <w:jc w:val="both"/>
      </w:pPr>
      <w:r>
        <w:rPr>
          <w:spacing w:val="3"/>
        </w:rPr>
        <w:t>伊川县、叶县、内黄县、原阳县、濮阳县、舞阳县、方城县、</w:t>
      </w:r>
      <w:r>
        <w:rPr>
          <w:spacing w:val="11"/>
        </w:rPr>
        <w:t>夏邑县、罗山县、息县、西华县、扶沟县、泌阳县、正阳县、汝</w:t>
      </w:r>
      <w:r>
        <w:rPr>
          <w:spacing w:val="-13"/>
        </w:rPr>
        <w:t>南县。</w:t>
      </w:r>
    </w:p>
    <w:p w14:paraId="132B0D7E">
      <w:pPr>
        <w:rPr>
          <w:rFonts w:ascii="Arial"/>
          <w:sz w:val="21"/>
        </w:rPr>
      </w:pPr>
    </w:p>
    <w:p w14:paraId="2C2A82A3"/>
    <w:sectPr>
      <w:headerReference r:id="rId5" w:type="default"/>
      <w:footerReference r:id="rId6" w:type="default"/>
      <w:pgSz w:w="11849" w:h="16838"/>
      <w:pgMar w:top="838" w:right="1707" w:bottom="780" w:left="1903" w:header="1412" w:footer="131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12C495">
    <w:pPr>
      <w:pStyle w:val="2"/>
      <w:spacing w:line="242" w:lineRule="auto"/>
      <w:ind w:left="1172"/>
      <w:rPr>
        <w:sz w:val="29"/>
        <w:szCs w:val="29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30E770">
    <w:pPr>
      <w:spacing w:before="83" w:line="230" w:lineRule="auto"/>
      <w:ind w:left="1176"/>
      <w:rPr>
        <w:rFonts w:ascii="黑体" w:hAnsi="黑体" w:eastAsia="黑体" w:cs="黑体"/>
        <w:sz w:val="31"/>
        <w:szCs w:val="3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696B48"/>
    <w:rsid w:val="68696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2025-10-09T08:04:00Z</dcterms:created>
  <dc:creator>麦瑞</dc:creator>
  <cp:lastModifiedBy>麦瑞</cp:lastModifiedBy>
  <dcterms:modified xsi:type="dcterms:W3CDTF">2025-10-09T08:04:56Z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A8E0C3676C8741ABA643C7FD8D565E59_11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